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789"/>
        <w:gridCol w:w="1260"/>
        <w:gridCol w:w="2985"/>
        <w:gridCol w:w="810"/>
        <w:gridCol w:w="1515"/>
        <w:gridCol w:w="2261"/>
        <w:gridCol w:w="2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小标宋_GBK"/>
                <w:color w:val="000000" w:themeColor="text1"/>
                <w:w w:val="95"/>
                <w:kern w:val="0"/>
                <w:sz w:val="44"/>
                <w:szCs w:val="44"/>
                <w:shd w:val="clear" w:color="auto" w:fill="auto"/>
                <w:lang w:val="zh-CN"/>
                <w14:textFill>
                  <w14:solidFill>
                    <w14:schemeClr w14:val="tx1"/>
                  </w14:solidFill>
                </w14:textFill>
              </w:rPr>
              <w:t>2020年泰兴市虹桥园</w:t>
            </w:r>
            <w:r>
              <w:rPr>
                <w:rFonts w:hint="eastAsia" w:eastAsia="方正小标宋_GBK"/>
                <w:color w:val="000000" w:themeColor="text1"/>
                <w:w w:val="95"/>
                <w:kern w:val="0"/>
                <w:sz w:val="44"/>
                <w:szCs w:val="44"/>
                <w:shd w:val="clear" w:color="auto" w:fill="auto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hint="eastAsia" w:eastAsia="方正小标宋_GBK"/>
                <w:color w:val="000000" w:themeColor="text1"/>
                <w:w w:val="95"/>
                <w:kern w:val="0"/>
                <w:sz w:val="44"/>
                <w:szCs w:val="44"/>
                <w:shd w:val="clear" w:color="auto" w:fill="auto"/>
                <w:lang w:val="zh-CN"/>
                <w14:textFill>
                  <w14:solidFill>
                    <w14:schemeClr w14:val="tx1"/>
                  </w14:solidFill>
                </w14:textFill>
              </w:rPr>
              <w:t>开发有限公司</w:t>
            </w:r>
            <w:r>
              <w:rPr>
                <w:rFonts w:hint="eastAsia" w:eastAsia="方正小标宋_GBK"/>
                <w:color w:val="000000" w:themeColor="text1"/>
                <w:w w:val="95"/>
                <w:kern w:val="0"/>
                <w:sz w:val="44"/>
                <w:szCs w:val="44"/>
                <w:shd w:val="clear" w:color="auto" w:fill="auto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方正小标宋_GBK"/>
                <w:color w:val="000000" w:themeColor="text1"/>
                <w:w w:val="95"/>
                <w:kern w:val="0"/>
                <w:sz w:val="44"/>
                <w:szCs w:val="44"/>
                <w:shd w:val="clear" w:color="auto" w:fill="auto"/>
                <w:lang w:val="zh-CN"/>
                <w14:textFill>
                  <w14:solidFill>
                    <w14:schemeClr w14:val="tx1"/>
                  </w14:solidFill>
                </w14:textFill>
              </w:rPr>
              <w:t>招聘岗位表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泰兴市虹桥镇（园区）镇属国有企业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金融投资类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金融学相关专业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具有3年以上融资工作经历者可放宽至32周岁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财务财会类相关专业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具有中级以上会计职称者可放宽至32周岁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交通工程类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交通工程类相关专业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工商管理类、商务贸易类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物流，电子商务物流，物流管理，物流工程，国际物流，物流与供应链管理等</w:t>
            </w:r>
            <w:r>
              <w:rPr>
                <w:rStyle w:val="4"/>
                <w:rFonts w:hint="default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物流相关专业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具有3年以上大中型企业中层管理经验者可放宽至32周岁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泰兴市虹桥镇（园区）镇属国有企业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环境保护类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环境工程类相关专业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具有3年以上参与环境保护类项目筹建及运营经验者可放宽至32周岁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建筑工程类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建筑工程类相关专业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城建规划类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城建规划类相关专业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安全生产类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安全生产类相关专业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软件工程类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软件工程类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航道港口类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“一流大学、一流学科”全日制本科（取得相应的学历学位）或以此为起点的硕士研究生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航道港口类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618E"/>
    <w:rsid w:val="592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2020-04-20T07:08:00Z</dcterms:created>
  <dc:creator>刘亚洲</dc:creator>
  <cp:lastModifiedBy>刘亚洲</cp:lastModifiedBy>
  <dcterms:modified xsi:type="dcterms:W3CDTF">2020-04-20T07:09:04Z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