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eastAsia="方正大标宋简体"/>
          <w:color w:val="000000"/>
          <w:kern w:val="0"/>
          <w:sz w:val="40"/>
          <w:szCs w:val="40"/>
        </w:rPr>
      </w:pPr>
      <w:r>
        <w:rPr>
          <w:rFonts w:hint="eastAsia" w:eastAsia="方正大标宋简体"/>
          <w:color w:val="000000"/>
          <w:kern w:val="0"/>
          <w:sz w:val="40"/>
          <w:szCs w:val="40"/>
        </w:rPr>
        <w:t>江苏省就业困难人员认定条件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登记失业人员中有下列情形之一，可以申请认定为就业困难人员：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（一）享受最低生活保障的；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（二）女40周岁以上、男50周岁以上的；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（三）特困职工家庭的；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（四）残疾的；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（五）城镇零就业家庭和农村零转移家庭的；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（六）连续失业1年以上的；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（七）城市规划区范围内的被征地农民；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（八）优抚对象家庭的；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（九）军队退役的；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（十）建档立卡低收入农户的；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（十一）设区市人民政府确定的其他就业困难人员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具体指：全日制普通高校毕业6个月以上未实现就业的高校毕业生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F11B6"/>
    <w:rsid w:val="0EA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2021-07-26T08:39:00Z</dcterms:created>
  <dc:creator>YUHU</dc:creator>
  <cp:lastModifiedBy>YUHU</cp:lastModifiedBy>
  <dcterms:modified xsi:type="dcterms:W3CDTF">2021-07-26T08:39:18Z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